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12D52" w14:textId="77777777" w:rsidR="00854360" w:rsidRDefault="00854360" w:rsidP="009C7438">
      <w:pPr>
        <w:rPr>
          <w:b/>
          <w:bCs/>
          <w:sz w:val="28"/>
          <w:szCs w:val="28"/>
        </w:rPr>
      </w:pPr>
      <w:r w:rsidRPr="00854360">
        <w:rPr>
          <w:b/>
          <w:bCs/>
          <w:sz w:val="28"/>
          <w:szCs w:val="28"/>
        </w:rPr>
        <w:t>Attachment 1</w:t>
      </w:r>
      <w:r>
        <w:rPr>
          <w:b/>
          <w:bCs/>
          <w:sz w:val="28"/>
          <w:szCs w:val="28"/>
        </w:rPr>
        <w:t xml:space="preserve"> – </w:t>
      </w:r>
    </w:p>
    <w:p w14:paraId="251BFC18" w14:textId="77777777" w:rsidR="00854360" w:rsidRDefault="00854360" w:rsidP="009C7438">
      <w:pPr>
        <w:rPr>
          <w:b/>
          <w:bCs/>
          <w:sz w:val="28"/>
          <w:szCs w:val="28"/>
        </w:rPr>
      </w:pPr>
    </w:p>
    <w:p w14:paraId="2AC16BCB" w14:textId="25CFEE9D" w:rsidR="009C7438" w:rsidRPr="00854360" w:rsidRDefault="00854360" w:rsidP="009C7438">
      <w:pPr>
        <w:rPr>
          <w:b/>
          <w:bCs/>
          <w:sz w:val="28"/>
          <w:szCs w:val="28"/>
        </w:rPr>
      </w:pPr>
      <w:r>
        <w:rPr>
          <w:b/>
          <w:bCs/>
          <w:sz w:val="28"/>
          <w:szCs w:val="28"/>
        </w:rPr>
        <w:t>Development Disability WA (DDWA)</w:t>
      </w:r>
    </w:p>
    <w:p w14:paraId="595113A6" w14:textId="77777777" w:rsidR="009C7438" w:rsidRDefault="009C7438" w:rsidP="009C7438">
      <w:pPr>
        <w:rPr>
          <w:sz w:val="28"/>
          <w:szCs w:val="28"/>
        </w:rPr>
      </w:pPr>
    </w:p>
    <w:p w14:paraId="166BBD65" w14:textId="000F475B" w:rsidR="009C7438" w:rsidRDefault="00854360" w:rsidP="00854360">
      <w:pPr>
        <w:pStyle w:val="ListParagraph"/>
        <w:ind w:left="0"/>
        <w:contextualSpacing w:val="0"/>
        <w:rPr>
          <w:rFonts w:eastAsia="Times New Roman"/>
          <w:b/>
          <w:bCs/>
          <w:sz w:val="28"/>
          <w:szCs w:val="28"/>
        </w:rPr>
      </w:pPr>
      <w:r>
        <w:rPr>
          <w:rFonts w:eastAsia="Times New Roman"/>
          <w:b/>
          <w:bCs/>
          <w:sz w:val="28"/>
          <w:szCs w:val="28"/>
        </w:rPr>
        <w:t xml:space="preserve">ISSUE: </w:t>
      </w:r>
      <w:r w:rsidR="009C7438">
        <w:rPr>
          <w:rFonts w:eastAsia="Times New Roman"/>
          <w:b/>
          <w:bCs/>
          <w:sz w:val="28"/>
          <w:szCs w:val="28"/>
        </w:rPr>
        <w:t xml:space="preserve">Specialist Health </w:t>
      </w:r>
    </w:p>
    <w:p w14:paraId="3E4D895C" w14:textId="77777777" w:rsidR="009C7438" w:rsidRDefault="009C7438" w:rsidP="009C7438">
      <w:pPr>
        <w:pStyle w:val="NormalWeb"/>
        <w:rPr>
          <w:sz w:val="28"/>
          <w:szCs w:val="28"/>
        </w:rPr>
      </w:pPr>
      <w:r>
        <w:rPr>
          <w:color w:val="000000"/>
          <w:sz w:val="28"/>
          <w:szCs w:val="28"/>
        </w:rPr>
        <w:t>On average, people with intellectual disability die 27 years earlier than other people. People with intellectual disability also have 2 to 3 times higher incidence of mental health problems. Whilst part of the reason directly relates to a person’s disability, other factors also lead to this huge disparity including:</w:t>
      </w:r>
    </w:p>
    <w:p w14:paraId="3F9B54B4" w14:textId="77777777" w:rsidR="009C7438" w:rsidRDefault="009C7438" w:rsidP="009C7438">
      <w:pPr>
        <w:numPr>
          <w:ilvl w:val="0"/>
          <w:numId w:val="2"/>
        </w:numPr>
        <w:ind w:left="567" w:hanging="567"/>
        <w:rPr>
          <w:rFonts w:eastAsia="Times New Roman"/>
          <w:color w:val="000000"/>
          <w:sz w:val="28"/>
          <w:szCs w:val="28"/>
        </w:rPr>
      </w:pPr>
      <w:r>
        <w:rPr>
          <w:rFonts w:eastAsia="Times New Roman"/>
          <w:color w:val="000000"/>
          <w:sz w:val="28"/>
          <w:szCs w:val="28"/>
        </w:rPr>
        <w:t>They have to wait longer at hospital emergency departments to be seen by a doctor. </w:t>
      </w:r>
    </w:p>
    <w:p w14:paraId="450D65C4" w14:textId="77777777" w:rsidR="009C7438" w:rsidRDefault="009C7438" w:rsidP="009C7438">
      <w:pPr>
        <w:numPr>
          <w:ilvl w:val="0"/>
          <w:numId w:val="2"/>
        </w:numPr>
        <w:ind w:left="567" w:hanging="567"/>
        <w:rPr>
          <w:rFonts w:eastAsia="Times New Roman"/>
          <w:color w:val="000000"/>
          <w:sz w:val="28"/>
          <w:szCs w:val="28"/>
        </w:rPr>
      </w:pPr>
      <w:r>
        <w:rPr>
          <w:rFonts w:eastAsia="Times New Roman"/>
          <w:color w:val="000000"/>
          <w:sz w:val="28"/>
          <w:szCs w:val="28"/>
        </w:rPr>
        <w:t>They are more likely to return to the emergency department within 30 days because they were not adequately treated on their first visit.</w:t>
      </w:r>
    </w:p>
    <w:p w14:paraId="2E05EB05" w14:textId="77777777" w:rsidR="009C7438" w:rsidRDefault="009C7438" w:rsidP="009C7438">
      <w:pPr>
        <w:numPr>
          <w:ilvl w:val="0"/>
          <w:numId w:val="2"/>
        </w:numPr>
        <w:ind w:left="567" w:hanging="567"/>
        <w:rPr>
          <w:rFonts w:eastAsia="Times New Roman"/>
          <w:color w:val="000000"/>
          <w:sz w:val="28"/>
          <w:szCs w:val="28"/>
        </w:rPr>
      </w:pPr>
      <w:r>
        <w:rPr>
          <w:rFonts w:eastAsia="Times New Roman"/>
          <w:color w:val="000000"/>
          <w:sz w:val="28"/>
          <w:szCs w:val="28"/>
        </w:rPr>
        <w:t>Very few health professionals have received any training in how to best communicate with or provide support in an appropriate way. Some people have reported their family members with disability were not offered the same medical treatment or assessments such as MRI's, scans or blood tests, when they were dysregulated.</w:t>
      </w:r>
    </w:p>
    <w:p w14:paraId="3415D7FD" w14:textId="77777777" w:rsidR="009C7438" w:rsidRDefault="009C7438" w:rsidP="009C7438">
      <w:pPr>
        <w:numPr>
          <w:ilvl w:val="0"/>
          <w:numId w:val="2"/>
        </w:numPr>
        <w:ind w:left="567" w:hanging="567"/>
        <w:rPr>
          <w:rFonts w:eastAsia="Times New Roman"/>
          <w:color w:val="000000"/>
          <w:sz w:val="28"/>
          <w:szCs w:val="28"/>
        </w:rPr>
      </w:pPr>
      <w:r>
        <w:rPr>
          <w:rFonts w:eastAsia="Times New Roman"/>
          <w:color w:val="000000"/>
          <w:sz w:val="28"/>
          <w:szCs w:val="28"/>
        </w:rPr>
        <w:t>They are less likely to have routine health screening tests and procedures for early detection of health problems.</w:t>
      </w:r>
    </w:p>
    <w:p w14:paraId="450BCF17" w14:textId="77777777" w:rsidR="009C7438" w:rsidRDefault="009C7438" w:rsidP="009C7438">
      <w:pPr>
        <w:numPr>
          <w:ilvl w:val="0"/>
          <w:numId w:val="2"/>
        </w:numPr>
        <w:ind w:left="567" w:hanging="567"/>
        <w:rPr>
          <w:rFonts w:eastAsia="Times New Roman"/>
          <w:color w:val="000000"/>
          <w:sz w:val="28"/>
          <w:szCs w:val="28"/>
        </w:rPr>
      </w:pPr>
      <w:r>
        <w:rPr>
          <w:rFonts w:eastAsia="Times New Roman"/>
          <w:color w:val="000000"/>
          <w:sz w:val="28"/>
          <w:szCs w:val="28"/>
        </w:rPr>
        <w:t>They face stigma and discrimination, when their physical or mental illness is missed, and attributed mistakenly to their disability (diagnostic overshadowing). </w:t>
      </w:r>
    </w:p>
    <w:p w14:paraId="71147873" w14:textId="77777777" w:rsidR="009C7438" w:rsidRDefault="009C7438" w:rsidP="009C7438">
      <w:pPr>
        <w:numPr>
          <w:ilvl w:val="0"/>
          <w:numId w:val="2"/>
        </w:numPr>
        <w:ind w:left="567" w:hanging="567"/>
        <w:rPr>
          <w:rFonts w:eastAsia="Times New Roman"/>
          <w:color w:val="000000"/>
          <w:sz w:val="28"/>
          <w:szCs w:val="28"/>
        </w:rPr>
      </w:pPr>
      <w:r>
        <w:rPr>
          <w:rFonts w:eastAsia="Times New Roman"/>
          <w:color w:val="000000"/>
          <w:sz w:val="28"/>
          <w:szCs w:val="28"/>
        </w:rPr>
        <w:t>Health professionals do not recognise that challenging behaviour can be a sign of physical or mental illness, as well as environmental problems including abuse. This leads to treatable conditions being missed. </w:t>
      </w:r>
    </w:p>
    <w:p w14:paraId="395DBE7A" w14:textId="77777777" w:rsidR="009C7438" w:rsidRDefault="009C7438" w:rsidP="009C7438">
      <w:pPr>
        <w:numPr>
          <w:ilvl w:val="0"/>
          <w:numId w:val="2"/>
        </w:numPr>
        <w:ind w:left="567" w:hanging="567"/>
        <w:rPr>
          <w:rFonts w:eastAsia="Times New Roman"/>
          <w:color w:val="000000"/>
          <w:sz w:val="28"/>
          <w:szCs w:val="28"/>
        </w:rPr>
      </w:pPr>
      <w:r>
        <w:rPr>
          <w:rFonts w:eastAsia="Times New Roman"/>
          <w:color w:val="000000"/>
          <w:sz w:val="28"/>
          <w:szCs w:val="28"/>
        </w:rPr>
        <w:t>They can no longer present to hospital emergency departments or general medical services due to past medical trauma experiences. </w:t>
      </w:r>
    </w:p>
    <w:p w14:paraId="5C611AF8" w14:textId="77777777" w:rsidR="009C7438" w:rsidRDefault="009C7438" w:rsidP="009C7438">
      <w:pPr>
        <w:pStyle w:val="ListParagraph"/>
        <w:ind w:left="567" w:hanging="567"/>
        <w:rPr>
          <w:sz w:val="28"/>
          <w:szCs w:val="28"/>
        </w:rPr>
      </w:pPr>
    </w:p>
    <w:p w14:paraId="14549555" w14:textId="16DA78D9" w:rsidR="009C7438" w:rsidRPr="00854360" w:rsidRDefault="00854360" w:rsidP="009C7438">
      <w:pPr>
        <w:pStyle w:val="ListParagraph"/>
        <w:ind w:left="0"/>
        <w:rPr>
          <w:b/>
          <w:bCs/>
          <w:sz w:val="28"/>
          <w:szCs w:val="28"/>
        </w:rPr>
      </w:pPr>
      <w:r w:rsidRPr="00854360">
        <w:rPr>
          <w:b/>
          <w:bCs/>
          <w:sz w:val="28"/>
          <w:szCs w:val="28"/>
        </w:rPr>
        <w:t xml:space="preserve">Recommendations for the </w:t>
      </w:r>
      <w:r w:rsidR="009C7438" w:rsidRPr="00854360">
        <w:rPr>
          <w:b/>
          <w:bCs/>
          <w:sz w:val="28"/>
          <w:szCs w:val="28"/>
        </w:rPr>
        <w:t>Health department:</w:t>
      </w:r>
    </w:p>
    <w:p w14:paraId="788E0EFC" w14:textId="77777777" w:rsidR="00854360" w:rsidRDefault="00854360" w:rsidP="009C7438">
      <w:pPr>
        <w:pStyle w:val="ListParagraph"/>
        <w:ind w:left="0"/>
        <w:rPr>
          <w:sz w:val="28"/>
          <w:szCs w:val="28"/>
        </w:rPr>
      </w:pPr>
    </w:p>
    <w:p w14:paraId="0BF18D50" w14:textId="4BBB86E8" w:rsidR="009C7438" w:rsidRDefault="009C7438" w:rsidP="009C7438">
      <w:pPr>
        <w:ind w:left="567" w:hanging="567"/>
        <w:rPr>
          <w:rFonts w:asciiTheme="minorHAnsi" w:hAnsiTheme="minorHAnsi"/>
          <w:sz w:val="28"/>
          <w:szCs w:val="28"/>
        </w:rPr>
      </w:pPr>
      <w:r>
        <w:rPr>
          <w:sz w:val="28"/>
          <w:szCs w:val="28"/>
        </w:rPr>
        <w:t>1.1</w:t>
      </w:r>
      <w:r>
        <w:rPr>
          <w:sz w:val="28"/>
          <w:szCs w:val="28"/>
        </w:rPr>
        <w:tab/>
        <w:t>Introduce m</w:t>
      </w:r>
      <w:r>
        <w:rPr>
          <w:rFonts w:asciiTheme="minorHAnsi" w:hAnsiTheme="minorHAnsi"/>
          <w:sz w:val="28"/>
          <w:szCs w:val="28"/>
        </w:rPr>
        <w:t>andatory training for all health staff – Utilise</w:t>
      </w:r>
      <w:r>
        <w:rPr>
          <w:rFonts w:asciiTheme="minorHAnsi" w:hAnsiTheme="minorHAnsi" w:cs="Arial"/>
          <w:color w:val="000000"/>
          <w:sz w:val="28"/>
          <w:szCs w:val="28"/>
        </w:rPr>
        <w:t xml:space="preserve"> </w:t>
      </w:r>
      <w:r>
        <w:rPr>
          <w:rFonts w:asciiTheme="minorHAnsi" w:hAnsiTheme="minorHAnsi"/>
          <w:color w:val="000000"/>
          <w:sz w:val="28"/>
          <w:szCs w:val="28"/>
        </w:rPr>
        <w:t>existing training materials from the National Centre of Excellence in Intellectual Disability Health</w:t>
      </w:r>
      <w:r w:rsidR="0060109D">
        <w:rPr>
          <w:rFonts w:asciiTheme="minorHAnsi" w:hAnsiTheme="minorHAnsi"/>
          <w:color w:val="000000"/>
          <w:sz w:val="28"/>
          <w:szCs w:val="28"/>
        </w:rPr>
        <w:t>.</w:t>
      </w:r>
    </w:p>
    <w:p w14:paraId="4CC6E8B7" w14:textId="77777777" w:rsidR="009C7438" w:rsidRDefault="009C7438" w:rsidP="009C7438">
      <w:pPr>
        <w:ind w:left="567" w:hanging="567"/>
        <w:rPr>
          <w:rFonts w:asciiTheme="minorHAnsi" w:hAnsiTheme="minorHAnsi"/>
          <w:sz w:val="28"/>
          <w:szCs w:val="28"/>
        </w:rPr>
      </w:pPr>
    </w:p>
    <w:p w14:paraId="05DA863B" w14:textId="44F10652" w:rsidR="009C7438" w:rsidRDefault="009C7438" w:rsidP="00600517">
      <w:pPr>
        <w:ind w:left="567" w:hanging="567"/>
        <w:rPr>
          <w:rFonts w:asciiTheme="minorHAnsi" w:hAnsiTheme="minorHAnsi"/>
          <w:color w:val="000000"/>
          <w:sz w:val="28"/>
          <w:szCs w:val="28"/>
          <w:lang w:eastAsia="en-AU"/>
          <w14:ligatures w14:val="none"/>
        </w:rPr>
      </w:pPr>
      <w:r>
        <w:rPr>
          <w:rFonts w:asciiTheme="minorHAnsi" w:hAnsiTheme="minorHAnsi"/>
          <w:sz w:val="28"/>
          <w:szCs w:val="28"/>
        </w:rPr>
        <w:t>1.2</w:t>
      </w:r>
      <w:r>
        <w:rPr>
          <w:rFonts w:asciiTheme="minorHAnsi" w:hAnsiTheme="minorHAnsi"/>
          <w:sz w:val="28"/>
          <w:szCs w:val="28"/>
        </w:rPr>
        <w:tab/>
      </w:r>
      <w:r w:rsidR="00827368">
        <w:rPr>
          <w:rFonts w:asciiTheme="minorHAnsi" w:hAnsiTheme="minorHAnsi"/>
          <w:sz w:val="28"/>
          <w:szCs w:val="28"/>
        </w:rPr>
        <w:t xml:space="preserve">Establish Specialist Disability Health Hubs </w:t>
      </w:r>
      <w:r>
        <w:rPr>
          <w:rFonts w:asciiTheme="minorHAnsi" w:hAnsiTheme="minorHAnsi"/>
          <w:sz w:val="28"/>
          <w:szCs w:val="28"/>
        </w:rPr>
        <w:t xml:space="preserve"> – </w:t>
      </w:r>
      <w:r>
        <w:rPr>
          <w:rFonts w:asciiTheme="minorHAnsi" w:hAnsiTheme="minorHAnsi"/>
          <w:color w:val="000000"/>
          <w:sz w:val="28"/>
          <w:szCs w:val="28"/>
          <w:lang w:eastAsia="en-AU"/>
          <w14:ligatures w14:val="none"/>
        </w:rPr>
        <w:t xml:space="preserve">Establish specialised intellectual disability health teams in each health region </w:t>
      </w:r>
      <w:r>
        <w:rPr>
          <w:rFonts w:asciiTheme="minorHAnsi" w:hAnsiTheme="minorHAnsi"/>
          <w:sz w:val="28"/>
          <w:szCs w:val="28"/>
          <w:lang w:eastAsia="en-AU"/>
          <w14:ligatures w14:val="none"/>
        </w:rPr>
        <w:t xml:space="preserve">(or statewide </w:t>
      </w:r>
      <w:r>
        <w:rPr>
          <w:rFonts w:asciiTheme="minorHAnsi" w:hAnsiTheme="minorHAnsi"/>
          <w:sz w:val="28"/>
          <w:szCs w:val="28"/>
          <w:lang w:eastAsia="en-AU"/>
          <w14:ligatures w14:val="none"/>
        </w:rPr>
        <w:lastRenderedPageBreak/>
        <w:t xml:space="preserve">operations team for remote areas) </w:t>
      </w:r>
      <w:r>
        <w:rPr>
          <w:rFonts w:asciiTheme="minorHAnsi" w:hAnsiTheme="minorHAnsi"/>
          <w:color w:val="000000"/>
          <w:sz w:val="28"/>
          <w:szCs w:val="28"/>
          <w:lang w:eastAsia="en-AU"/>
          <w14:ligatures w14:val="none"/>
        </w:rPr>
        <w:t>that specifically focus on improving the health and mental health outcomes for people with intellectual disability, particularly the transition from child to adult services, and make sure that the teams also have expertise in identification and management of common</w:t>
      </w:r>
      <w:r>
        <w:rPr>
          <w:rFonts w:asciiTheme="minorHAnsi" w:hAnsiTheme="minorHAnsi"/>
          <w:sz w:val="28"/>
          <w:szCs w:val="28"/>
          <w:lang w:eastAsia="en-AU"/>
          <w14:ligatures w14:val="none"/>
        </w:rPr>
        <w:t>ly</w:t>
      </w:r>
      <w:r>
        <w:rPr>
          <w:rFonts w:asciiTheme="minorHAnsi" w:hAnsiTheme="minorHAnsi"/>
          <w:color w:val="000000"/>
          <w:sz w:val="28"/>
          <w:szCs w:val="28"/>
          <w:lang w:eastAsia="en-AU"/>
          <w14:ligatures w14:val="none"/>
        </w:rPr>
        <w:t xml:space="preserve"> co-occurring conditions including autism, FASD and ADHD. These </w:t>
      </w:r>
      <w:r w:rsidR="00827368">
        <w:rPr>
          <w:rFonts w:asciiTheme="minorHAnsi" w:hAnsiTheme="minorHAnsi"/>
          <w:color w:val="000000"/>
          <w:sz w:val="28"/>
          <w:szCs w:val="28"/>
          <w:lang w:eastAsia="en-AU"/>
          <w14:ligatures w14:val="none"/>
        </w:rPr>
        <w:t>Hubs w</w:t>
      </w:r>
      <w:r>
        <w:rPr>
          <w:rFonts w:asciiTheme="minorHAnsi" w:hAnsiTheme="minorHAnsi"/>
          <w:color w:val="000000"/>
          <w:sz w:val="28"/>
          <w:szCs w:val="28"/>
          <w:lang w:eastAsia="en-AU"/>
          <w14:ligatures w14:val="none"/>
        </w:rPr>
        <w:t>ould build capacity within mainstream health services by offering education and specialised support</w:t>
      </w:r>
      <w:r w:rsidR="00827368">
        <w:rPr>
          <w:rFonts w:asciiTheme="minorHAnsi" w:hAnsiTheme="minorHAnsi"/>
          <w:color w:val="000000"/>
          <w:sz w:val="28"/>
          <w:szCs w:val="28"/>
          <w:lang w:eastAsia="en-AU"/>
          <w14:ligatures w14:val="none"/>
        </w:rPr>
        <w:t xml:space="preserve"> and align with both </w:t>
      </w:r>
      <w:r>
        <w:rPr>
          <w:rFonts w:asciiTheme="minorHAnsi" w:hAnsiTheme="minorHAnsi"/>
          <w:color w:val="000000"/>
          <w:sz w:val="28"/>
          <w:szCs w:val="28"/>
          <w:lang w:eastAsia="en-AU"/>
          <w14:ligatures w14:val="none"/>
        </w:rPr>
        <w:t xml:space="preserve">Disability Royal Commission Recommendation 6.33 Develop </w:t>
      </w:r>
      <w:r w:rsidR="00827368">
        <w:rPr>
          <w:rFonts w:asciiTheme="minorHAnsi" w:hAnsiTheme="minorHAnsi"/>
          <w:color w:val="000000"/>
          <w:sz w:val="28"/>
          <w:szCs w:val="28"/>
          <w:lang w:eastAsia="en-AU"/>
          <w14:ligatures w14:val="none"/>
        </w:rPr>
        <w:t>(</w:t>
      </w:r>
      <w:r>
        <w:rPr>
          <w:rFonts w:asciiTheme="minorHAnsi" w:hAnsiTheme="minorHAnsi"/>
          <w:color w:val="000000"/>
          <w:sz w:val="28"/>
          <w:szCs w:val="28"/>
          <w:lang w:eastAsia="en-AU"/>
          <w14:ligatures w14:val="none"/>
        </w:rPr>
        <w:t>specialised health and mental health services for people with cognitive disability)</w:t>
      </w:r>
      <w:r w:rsidR="00827368">
        <w:rPr>
          <w:rFonts w:asciiTheme="minorHAnsi" w:hAnsiTheme="minorHAnsi"/>
          <w:color w:val="000000"/>
          <w:sz w:val="28"/>
          <w:szCs w:val="28"/>
          <w:lang w:eastAsia="en-AU"/>
          <w14:ligatures w14:val="none"/>
        </w:rPr>
        <w:t>; and Infant, Child &amp; Adolescent Taskforce Recommendation</w:t>
      </w:r>
      <w:r w:rsidR="00787FDF">
        <w:rPr>
          <w:rFonts w:asciiTheme="minorHAnsi" w:hAnsiTheme="minorHAnsi"/>
          <w:color w:val="000000"/>
          <w:sz w:val="28"/>
          <w:szCs w:val="28"/>
          <w:lang w:eastAsia="en-AU"/>
          <w14:ligatures w14:val="none"/>
        </w:rPr>
        <w:t xml:space="preserve"> 11 (</w:t>
      </w:r>
      <w:r w:rsidR="00787FDF" w:rsidRPr="00787FDF">
        <w:rPr>
          <w:rFonts w:asciiTheme="minorHAnsi" w:hAnsiTheme="minorHAnsi"/>
          <w:color w:val="000000"/>
          <w:sz w:val="28"/>
          <w:szCs w:val="28"/>
          <w:lang w:eastAsia="en-AU"/>
          <w14:ligatures w14:val="none"/>
        </w:rPr>
        <w:t>Establish new statewide services to address critical gaps within the current</w:t>
      </w:r>
      <w:r w:rsidR="00600517">
        <w:rPr>
          <w:rFonts w:asciiTheme="minorHAnsi" w:hAnsiTheme="minorHAnsi"/>
          <w:color w:val="000000"/>
          <w:sz w:val="28"/>
          <w:szCs w:val="28"/>
          <w:lang w:eastAsia="en-AU"/>
          <w14:ligatures w14:val="none"/>
        </w:rPr>
        <w:t xml:space="preserve"> </w:t>
      </w:r>
      <w:r w:rsidR="00787FDF" w:rsidRPr="00787FDF">
        <w:rPr>
          <w:rFonts w:asciiTheme="minorHAnsi" w:hAnsiTheme="minorHAnsi"/>
          <w:color w:val="000000"/>
          <w:sz w:val="28"/>
          <w:szCs w:val="28"/>
          <w:lang w:eastAsia="en-AU"/>
          <w14:ligatures w14:val="none"/>
        </w:rPr>
        <w:t>range of specialised service</w:t>
      </w:r>
      <w:r w:rsidR="00787FDF">
        <w:rPr>
          <w:rFonts w:asciiTheme="minorHAnsi" w:hAnsiTheme="minorHAnsi"/>
          <w:color w:val="000000"/>
          <w:sz w:val="28"/>
          <w:szCs w:val="28"/>
          <w:lang w:eastAsia="en-AU"/>
          <w14:ligatures w14:val="none"/>
        </w:rPr>
        <w:t xml:space="preserve"> - </w:t>
      </w:r>
      <w:r w:rsidR="00787FDF" w:rsidRPr="00787FDF">
        <w:rPr>
          <w:rFonts w:asciiTheme="minorHAnsi" w:hAnsiTheme="minorHAnsi"/>
          <w:color w:val="000000"/>
          <w:sz w:val="28"/>
          <w:szCs w:val="28"/>
          <w:lang w:eastAsia="en-AU"/>
          <w14:ligatures w14:val="none"/>
        </w:rPr>
        <w:t>Collaboratively design a new intellectual</w:t>
      </w:r>
      <w:r w:rsidR="00600517">
        <w:rPr>
          <w:rFonts w:asciiTheme="minorHAnsi" w:hAnsiTheme="minorHAnsi"/>
          <w:color w:val="000000"/>
          <w:sz w:val="28"/>
          <w:szCs w:val="28"/>
          <w:lang w:eastAsia="en-AU"/>
          <w14:ligatures w14:val="none"/>
        </w:rPr>
        <w:t xml:space="preserve"> </w:t>
      </w:r>
      <w:r w:rsidR="00787FDF" w:rsidRPr="00787FDF">
        <w:rPr>
          <w:rFonts w:asciiTheme="minorHAnsi" w:hAnsiTheme="minorHAnsi"/>
          <w:color w:val="000000"/>
          <w:sz w:val="28"/>
          <w:szCs w:val="28"/>
          <w:lang w:eastAsia="en-AU"/>
          <w14:ligatures w14:val="none"/>
        </w:rPr>
        <w:t>disability and neurodevelopmental or</w:t>
      </w:r>
      <w:r w:rsidR="00787FDF">
        <w:rPr>
          <w:rFonts w:asciiTheme="minorHAnsi" w:hAnsiTheme="minorHAnsi"/>
          <w:color w:val="000000"/>
          <w:sz w:val="28"/>
          <w:szCs w:val="28"/>
          <w:lang w:eastAsia="en-AU"/>
          <w14:ligatures w14:val="none"/>
        </w:rPr>
        <w:t xml:space="preserve"> </w:t>
      </w:r>
      <w:r w:rsidR="00787FDF" w:rsidRPr="00787FDF">
        <w:rPr>
          <w:rFonts w:asciiTheme="minorHAnsi" w:hAnsiTheme="minorHAnsi"/>
          <w:color w:val="000000"/>
          <w:sz w:val="28"/>
          <w:szCs w:val="28"/>
          <w:lang w:eastAsia="en-AU"/>
          <w14:ligatures w14:val="none"/>
        </w:rPr>
        <w:t>neuropsychiatric condition service</w:t>
      </w:r>
      <w:r w:rsidR="00BC1D6A">
        <w:rPr>
          <w:rFonts w:asciiTheme="minorHAnsi" w:hAnsiTheme="minorHAnsi"/>
          <w:color w:val="000000"/>
          <w:sz w:val="28"/>
          <w:szCs w:val="28"/>
          <w:lang w:eastAsia="en-AU"/>
          <w14:ligatures w14:val="none"/>
        </w:rPr>
        <w:t>).</w:t>
      </w:r>
    </w:p>
    <w:p w14:paraId="2B5C3F6E" w14:textId="77777777" w:rsidR="009C7438" w:rsidRDefault="009C7438" w:rsidP="009C7438">
      <w:pPr>
        <w:ind w:left="567" w:hanging="567"/>
        <w:rPr>
          <w:rFonts w:asciiTheme="minorHAnsi" w:hAnsiTheme="minorHAnsi" w:cstheme="minorBidi"/>
          <w:sz w:val="28"/>
          <w:szCs w:val="28"/>
          <w:lang w:eastAsia="en-AU"/>
          <w14:ligatures w14:val="none"/>
        </w:rPr>
      </w:pPr>
    </w:p>
    <w:p w14:paraId="0CFA2912" w14:textId="451D3AB2" w:rsidR="009C7438" w:rsidRDefault="009C7438" w:rsidP="009C7438">
      <w:pPr>
        <w:ind w:left="567" w:hanging="567"/>
        <w:rPr>
          <w:rFonts w:asciiTheme="minorHAnsi" w:hAnsiTheme="minorHAnsi" w:cstheme="minorBidi"/>
          <w:sz w:val="28"/>
          <w:szCs w:val="28"/>
          <w:lang w:eastAsia="en-AU"/>
          <w14:ligatures w14:val="none"/>
        </w:rPr>
      </w:pPr>
      <w:r>
        <w:rPr>
          <w:rFonts w:asciiTheme="minorHAnsi" w:hAnsiTheme="minorHAnsi" w:cstheme="minorBidi"/>
          <w:sz w:val="28"/>
          <w:szCs w:val="28"/>
          <w:lang w:eastAsia="en-AU"/>
          <w14:ligatures w14:val="none"/>
        </w:rPr>
        <w:t>1.3</w:t>
      </w:r>
      <w:r>
        <w:rPr>
          <w:rFonts w:asciiTheme="minorHAnsi" w:hAnsiTheme="minorHAnsi" w:cstheme="minorBidi"/>
          <w:sz w:val="28"/>
          <w:szCs w:val="28"/>
          <w:lang w:eastAsia="en-AU"/>
          <w14:ligatures w14:val="none"/>
        </w:rPr>
        <w:tab/>
        <w:t xml:space="preserve">Revise existing </w:t>
      </w:r>
      <w:r w:rsidR="00827368">
        <w:rPr>
          <w:rFonts w:asciiTheme="minorHAnsi" w:hAnsiTheme="minorHAnsi" w:cstheme="minorBidi"/>
          <w:sz w:val="28"/>
          <w:szCs w:val="28"/>
          <w:lang w:eastAsia="en-AU"/>
          <w14:ligatures w14:val="none"/>
        </w:rPr>
        <w:t xml:space="preserve">Health and Mental Health strategic plans and policies </w:t>
      </w:r>
      <w:r>
        <w:rPr>
          <w:rFonts w:asciiTheme="minorHAnsi" w:hAnsiTheme="minorHAnsi" w:cstheme="minorBidi"/>
          <w:sz w:val="28"/>
          <w:szCs w:val="28"/>
          <w:lang w:eastAsia="en-AU"/>
          <w14:ligatures w14:val="none"/>
        </w:rPr>
        <w:t xml:space="preserve">to include people with intellectual and other developmental disabilities as a </w:t>
      </w:r>
      <w:r>
        <w:rPr>
          <w:rFonts w:asciiTheme="minorHAnsi" w:hAnsiTheme="minorHAnsi" w:cstheme="minorBidi"/>
          <w:sz w:val="28"/>
          <w:szCs w:val="28"/>
          <w:u w:val="single"/>
          <w:lang w:eastAsia="en-AU"/>
          <w14:ligatures w14:val="none"/>
        </w:rPr>
        <w:t>priority group</w:t>
      </w:r>
      <w:r>
        <w:rPr>
          <w:rFonts w:asciiTheme="minorHAnsi" w:hAnsiTheme="minorHAnsi" w:cstheme="minorBidi"/>
          <w:sz w:val="28"/>
          <w:szCs w:val="28"/>
          <w:lang w:eastAsia="en-AU"/>
          <w14:ligatures w14:val="none"/>
        </w:rPr>
        <w:t>.</w:t>
      </w:r>
    </w:p>
    <w:p w14:paraId="2E6AA1CB" w14:textId="77777777" w:rsidR="009C7438" w:rsidRDefault="009C7438" w:rsidP="009C7438">
      <w:pPr>
        <w:ind w:left="567" w:hanging="567"/>
        <w:rPr>
          <w:rFonts w:asciiTheme="minorHAnsi" w:hAnsiTheme="minorHAnsi" w:cstheme="minorBidi"/>
          <w:sz w:val="28"/>
          <w:szCs w:val="28"/>
          <w:lang w:eastAsia="en-AU"/>
          <w14:ligatures w14:val="none"/>
        </w:rPr>
      </w:pPr>
    </w:p>
    <w:p w14:paraId="4BCDB519" w14:textId="215C8A1C" w:rsidR="009C7438" w:rsidRDefault="009C7438" w:rsidP="009C7438">
      <w:pPr>
        <w:ind w:left="567" w:hanging="567"/>
        <w:rPr>
          <w:rFonts w:asciiTheme="minorHAnsi" w:eastAsia="Times New Roman" w:hAnsiTheme="minorHAnsi"/>
          <w:color w:val="000000"/>
          <w:sz w:val="28"/>
          <w:szCs w:val="28"/>
          <w:lang w:eastAsia="en-AU"/>
          <w14:ligatures w14:val="none"/>
        </w:rPr>
      </w:pPr>
      <w:r>
        <w:rPr>
          <w:rFonts w:asciiTheme="minorHAnsi" w:eastAsia="Times New Roman" w:hAnsiTheme="minorHAnsi" w:cs="Arial"/>
          <w:color w:val="000000"/>
          <w:sz w:val="28"/>
          <w:szCs w:val="28"/>
          <w:lang w:eastAsia="en-AU"/>
          <w14:ligatures w14:val="none"/>
        </w:rPr>
        <w:t>1.4</w:t>
      </w:r>
      <w:r>
        <w:rPr>
          <w:rFonts w:asciiTheme="minorHAnsi" w:eastAsia="Times New Roman" w:hAnsiTheme="minorHAnsi" w:cs="Arial"/>
          <w:color w:val="000000"/>
          <w:sz w:val="28"/>
          <w:szCs w:val="28"/>
          <w:lang w:eastAsia="en-AU"/>
          <w14:ligatures w14:val="none"/>
        </w:rPr>
        <w:tab/>
        <w:t>Introduce a “flag” for intellectual disability in WA health records, so health professionals know that the person they are treating has an intellectual disability and what reasonable adjustments the person needs, to help them get good outcome e.g. simple speech, more time, easy read information.  This would be a voluntary arrangement where people choose if they want their record “flagged”.</w:t>
      </w:r>
    </w:p>
    <w:p w14:paraId="55729E54" w14:textId="77777777" w:rsidR="009C7438" w:rsidRDefault="009C7438" w:rsidP="009C7438">
      <w:pPr>
        <w:ind w:left="567" w:hanging="567"/>
        <w:rPr>
          <w:rFonts w:asciiTheme="minorHAnsi" w:hAnsiTheme="minorHAnsi"/>
          <w:sz w:val="28"/>
          <w:szCs w:val="28"/>
        </w:rPr>
      </w:pPr>
    </w:p>
    <w:p w14:paraId="2930D409" w14:textId="475687B2" w:rsidR="009C7438" w:rsidRDefault="009C7438" w:rsidP="009C7438">
      <w:pPr>
        <w:ind w:left="567" w:hanging="567"/>
        <w:rPr>
          <w:rStyle w:val="Hyperlink"/>
          <w:sz w:val="28"/>
          <w:szCs w:val="28"/>
        </w:rPr>
      </w:pPr>
      <w:r>
        <w:rPr>
          <w:rFonts w:asciiTheme="minorHAnsi" w:hAnsiTheme="minorHAnsi"/>
          <w:sz w:val="28"/>
          <w:szCs w:val="28"/>
        </w:rPr>
        <w:t>1.5</w:t>
      </w:r>
      <w:r>
        <w:rPr>
          <w:rFonts w:asciiTheme="minorHAnsi" w:hAnsiTheme="minorHAnsi"/>
          <w:sz w:val="28"/>
          <w:szCs w:val="28"/>
        </w:rPr>
        <w:tab/>
        <w:t>Contribute to a statewide easy</w:t>
      </w:r>
      <w:r>
        <w:rPr>
          <w:sz w:val="28"/>
          <w:szCs w:val="28"/>
        </w:rPr>
        <w:t xml:space="preserve"> read website – Contribute key public information about health, see example website from NSW </w:t>
      </w:r>
      <w:hyperlink r:id="rId10" w:history="1">
        <w:r>
          <w:rPr>
            <w:rStyle w:val="Hyperlink"/>
            <w:sz w:val="28"/>
            <w:szCs w:val="28"/>
          </w:rPr>
          <w:t>Easy Read resources | NSW Government</w:t>
        </w:r>
      </w:hyperlink>
    </w:p>
    <w:p w14:paraId="1E6CF14A" w14:textId="77777777" w:rsidR="004C7859" w:rsidRDefault="004C7859" w:rsidP="009C7438">
      <w:pPr>
        <w:ind w:left="567" w:hanging="567"/>
        <w:rPr>
          <w:rStyle w:val="Hyperlink"/>
          <w:sz w:val="28"/>
          <w:szCs w:val="28"/>
        </w:rPr>
      </w:pPr>
    </w:p>
    <w:p w14:paraId="1B849259" w14:textId="77777777" w:rsidR="004C7859" w:rsidRDefault="004C7859" w:rsidP="009C7438">
      <w:pPr>
        <w:ind w:left="567" w:hanging="567"/>
        <w:rPr>
          <w:rStyle w:val="Hyperlink"/>
          <w:sz w:val="28"/>
          <w:szCs w:val="28"/>
        </w:rPr>
      </w:pPr>
    </w:p>
    <w:p w14:paraId="391CE647" w14:textId="77777777" w:rsidR="004C7859" w:rsidRDefault="004C7859" w:rsidP="009C7438">
      <w:pPr>
        <w:ind w:left="567" w:hanging="567"/>
        <w:rPr>
          <w:rStyle w:val="Hyperlink"/>
          <w:sz w:val="28"/>
          <w:szCs w:val="28"/>
        </w:rPr>
      </w:pPr>
    </w:p>
    <w:p w14:paraId="368EF977" w14:textId="77777777" w:rsidR="004C7859" w:rsidRDefault="004C7859" w:rsidP="009C7438">
      <w:pPr>
        <w:ind w:left="567" w:hanging="567"/>
        <w:rPr>
          <w:rStyle w:val="Hyperlink"/>
          <w:sz w:val="28"/>
          <w:szCs w:val="28"/>
        </w:rPr>
      </w:pPr>
    </w:p>
    <w:p w14:paraId="2BF852B9" w14:textId="77777777" w:rsidR="004C7859" w:rsidRDefault="004C7859" w:rsidP="009C7438">
      <w:pPr>
        <w:ind w:left="567" w:hanging="567"/>
        <w:rPr>
          <w:rStyle w:val="Hyperlink"/>
          <w:sz w:val="28"/>
          <w:szCs w:val="28"/>
        </w:rPr>
      </w:pPr>
    </w:p>
    <w:p w14:paraId="072EC663" w14:textId="77777777" w:rsidR="004C7859" w:rsidRDefault="004C7859" w:rsidP="009C7438">
      <w:pPr>
        <w:ind w:left="567" w:hanging="567"/>
        <w:rPr>
          <w:rStyle w:val="Hyperlink"/>
          <w:sz w:val="28"/>
          <w:szCs w:val="28"/>
        </w:rPr>
      </w:pPr>
    </w:p>
    <w:p w14:paraId="72F6DDB7" w14:textId="77777777" w:rsidR="004C7859" w:rsidRDefault="004C7859" w:rsidP="009C7438">
      <w:pPr>
        <w:ind w:left="567" w:hanging="567"/>
        <w:rPr>
          <w:rStyle w:val="Hyperlink"/>
          <w:sz w:val="28"/>
          <w:szCs w:val="28"/>
        </w:rPr>
      </w:pPr>
    </w:p>
    <w:p w14:paraId="613C87EC" w14:textId="77777777" w:rsidR="004C7859" w:rsidRDefault="004C7859" w:rsidP="009C7438">
      <w:pPr>
        <w:ind w:left="567" w:hanging="567"/>
        <w:rPr>
          <w:rStyle w:val="Hyperlink"/>
          <w:sz w:val="28"/>
          <w:szCs w:val="28"/>
        </w:rPr>
      </w:pPr>
    </w:p>
    <w:p w14:paraId="67FB90CD" w14:textId="77777777" w:rsidR="004C7859" w:rsidRDefault="004C7859" w:rsidP="009C7438">
      <w:pPr>
        <w:ind w:left="567" w:hanging="567"/>
        <w:rPr>
          <w:rStyle w:val="Hyperlink"/>
          <w:sz w:val="28"/>
          <w:szCs w:val="28"/>
        </w:rPr>
      </w:pPr>
    </w:p>
    <w:p w14:paraId="426C6634" w14:textId="77777777" w:rsidR="004C7859" w:rsidRDefault="004C7859" w:rsidP="009C7438">
      <w:pPr>
        <w:ind w:left="567" w:hanging="567"/>
        <w:rPr>
          <w:rStyle w:val="Hyperlink"/>
          <w:sz w:val="28"/>
          <w:szCs w:val="28"/>
        </w:rPr>
      </w:pPr>
    </w:p>
    <w:p w14:paraId="4C2DCD4D" w14:textId="77777777" w:rsidR="004C7859" w:rsidRDefault="004C7859" w:rsidP="009C7438">
      <w:pPr>
        <w:ind w:left="567" w:hanging="567"/>
        <w:rPr>
          <w:sz w:val="28"/>
          <w:szCs w:val="28"/>
        </w:rPr>
      </w:pPr>
    </w:p>
    <w:p w14:paraId="1AD7D78E" w14:textId="77777777" w:rsidR="009C7438" w:rsidRDefault="009C7438" w:rsidP="009C7438">
      <w:pPr>
        <w:pStyle w:val="ListParagraph"/>
        <w:numPr>
          <w:ilvl w:val="0"/>
          <w:numId w:val="1"/>
        </w:numPr>
        <w:ind w:left="0" w:firstLine="0"/>
        <w:contextualSpacing w:val="0"/>
        <w:rPr>
          <w:rFonts w:eastAsia="Times New Roman"/>
          <w:b/>
          <w:bCs/>
          <w:sz w:val="28"/>
          <w:szCs w:val="28"/>
        </w:rPr>
      </w:pPr>
      <w:r>
        <w:rPr>
          <w:rFonts w:eastAsia="Times New Roman"/>
          <w:b/>
          <w:bCs/>
          <w:sz w:val="28"/>
          <w:szCs w:val="28"/>
        </w:rPr>
        <w:lastRenderedPageBreak/>
        <w:t xml:space="preserve">Independent Specialist Education Advocacy </w:t>
      </w:r>
    </w:p>
    <w:p w14:paraId="65752126" w14:textId="77777777" w:rsidR="009C7438" w:rsidRDefault="009C7438" w:rsidP="009C7438">
      <w:pPr>
        <w:rPr>
          <w:sz w:val="28"/>
          <w:szCs w:val="28"/>
        </w:rPr>
      </w:pPr>
    </w:p>
    <w:p w14:paraId="55D6FB4F" w14:textId="0D6194C3" w:rsidR="000D269B" w:rsidRDefault="000D269B" w:rsidP="000D269B">
      <w:pPr>
        <w:rPr>
          <w:sz w:val="28"/>
          <w:szCs w:val="28"/>
        </w:rPr>
      </w:pPr>
      <w:r w:rsidRPr="000D269B">
        <w:rPr>
          <w:sz w:val="28"/>
          <w:szCs w:val="28"/>
        </w:rPr>
        <w:t>The quality of the inclusion for students with a disability, is often proportional to the advocacy, energy and efforts of families, resulting in the ‘inclusion’ experienced by students within the same school being highly variable.</w:t>
      </w:r>
      <w:r>
        <w:rPr>
          <w:sz w:val="28"/>
          <w:szCs w:val="28"/>
        </w:rPr>
        <w:t xml:space="preserve"> </w:t>
      </w:r>
      <w:r w:rsidRPr="000D269B">
        <w:rPr>
          <w:sz w:val="28"/>
          <w:szCs w:val="28"/>
        </w:rPr>
        <w:t>Independent advocates safeguard the inclusion of children with disability in education, especially for families without the knowledge or ability to advocate for their children and are especially beneficial when the relationship between a school and a family is deteriorating or has broken down.</w:t>
      </w:r>
      <w:r>
        <w:rPr>
          <w:sz w:val="28"/>
          <w:szCs w:val="28"/>
        </w:rPr>
        <w:t xml:space="preserve"> </w:t>
      </w:r>
      <w:r w:rsidRPr="000D269B">
        <w:rPr>
          <w:sz w:val="28"/>
          <w:szCs w:val="28"/>
        </w:rPr>
        <w:t>Independent disability advocacy delivers better educational outcomes for children and young people with disability.</w:t>
      </w:r>
    </w:p>
    <w:p w14:paraId="758C673D" w14:textId="77777777" w:rsidR="000D269B" w:rsidRDefault="000D269B" w:rsidP="009C7438">
      <w:pPr>
        <w:rPr>
          <w:sz w:val="28"/>
          <w:szCs w:val="28"/>
        </w:rPr>
      </w:pPr>
    </w:p>
    <w:p w14:paraId="1338C7EA" w14:textId="77777777" w:rsidR="00C91A52" w:rsidRDefault="004474F9" w:rsidP="009C7438">
      <w:pPr>
        <w:rPr>
          <w:sz w:val="28"/>
          <w:szCs w:val="28"/>
        </w:rPr>
      </w:pPr>
      <w:r>
        <w:rPr>
          <w:sz w:val="28"/>
          <w:szCs w:val="28"/>
        </w:rPr>
        <w:t xml:space="preserve">Students with disability and their parents in Western Australia do not have access to independent specialist education advocacy when an issue arises at school. </w:t>
      </w:r>
      <w:r w:rsidRPr="004474F9">
        <w:rPr>
          <w:sz w:val="28"/>
          <w:szCs w:val="28"/>
        </w:rPr>
        <w:t>Australian jurisdictions, such as NSW and Queensland, fund independent</w:t>
      </w:r>
      <w:r w:rsidRPr="004474F9">
        <w:rPr>
          <w:rFonts w:ascii="Arial" w:hAnsi="Arial" w:cs="Arial"/>
          <w:sz w:val="28"/>
          <w:szCs w:val="28"/>
        </w:rPr>
        <w:t> </w:t>
      </w:r>
      <w:r w:rsidRPr="004474F9">
        <w:rPr>
          <w:sz w:val="28"/>
          <w:szCs w:val="28"/>
        </w:rPr>
        <w:t>professional education advocacy to support the resolution of complex and escalated complaints relating to the access, participation and/or achievement of students with disability.</w:t>
      </w:r>
      <w:r>
        <w:rPr>
          <w:sz w:val="28"/>
          <w:szCs w:val="28"/>
        </w:rPr>
        <w:t xml:space="preserve"> DDWA</w:t>
      </w:r>
      <w:r w:rsidR="009C7438">
        <w:rPr>
          <w:sz w:val="28"/>
          <w:szCs w:val="28"/>
        </w:rPr>
        <w:t xml:space="preserve"> receives literally hundreds of phone calls per year from parents who are struggling to navigate the school system on behalf of their child.  Children with developmental disability cannot currently be assured they will receive an education from teachers and education support assistants who have an adequate working knowledge of developmental disability.   </w:t>
      </w:r>
    </w:p>
    <w:p w14:paraId="0D86DFEE" w14:textId="77777777" w:rsidR="00C91A52" w:rsidRDefault="00C91A52" w:rsidP="009C7438">
      <w:pPr>
        <w:rPr>
          <w:sz w:val="28"/>
          <w:szCs w:val="28"/>
        </w:rPr>
      </w:pPr>
    </w:p>
    <w:p w14:paraId="5985A258" w14:textId="045A0BE4" w:rsidR="009C7438" w:rsidRDefault="009C7438" w:rsidP="009C7438">
      <w:pPr>
        <w:rPr>
          <w:sz w:val="28"/>
          <w:szCs w:val="28"/>
        </w:rPr>
      </w:pPr>
      <w:r>
        <w:rPr>
          <w:sz w:val="28"/>
          <w:szCs w:val="28"/>
        </w:rPr>
        <w:t>Parents routinely contact DDWA to assist with:</w:t>
      </w:r>
    </w:p>
    <w:p w14:paraId="76B1E740" w14:textId="77777777" w:rsidR="009C7438" w:rsidRDefault="009C7438" w:rsidP="009C7438">
      <w:pPr>
        <w:rPr>
          <w:sz w:val="28"/>
          <w:szCs w:val="28"/>
        </w:rPr>
      </w:pPr>
    </w:p>
    <w:p w14:paraId="220187ED" w14:textId="77777777" w:rsidR="009C7438" w:rsidRDefault="009C7438" w:rsidP="009C7438">
      <w:pPr>
        <w:pStyle w:val="ListParagraph"/>
        <w:numPr>
          <w:ilvl w:val="0"/>
          <w:numId w:val="3"/>
        </w:numPr>
        <w:ind w:left="567" w:hanging="567"/>
        <w:contextualSpacing w:val="0"/>
        <w:rPr>
          <w:rFonts w:eastAsia="Times New Roman"/>
          <w:sz w:val="28"/>
          <w:szCs w:val="28"/>
        </w:rPr>
      </w:pPr>
      <w:r>
        <w:rPr>
          <w:rFonts w:eastAsia="Times New Roman"/>
          <w:sz w:val="28"/>
          <w:szCs w:val="28"/>
        </w:rPr>
        <w:t>Better understanding of their rights when negotiating on behalf of their child at school.</w:t>
      </w:r>
    </w:p>
    <w:p w14:paraId="2FC8445F" w14:textId="77777777" w:rsidR="009C7438" w:rsidRDefault="009C7438" w:rsidP="009C7438">
      <w:pPr>
        <w:pStyle w:val="ListParagraph"/>
        <w:numPr>
          <w:ilvl w:val="0"/>
          <w:numId w:val="3"/>
        </w:numPr>
        <w:ind w:left="567" w:hanging="567"/>
        <w:contextualSpacing w:val="0"/>
        <w:rPr>
          <w:rFonts w:eastAsia="Times New Roman"/>
          <w:sz w:val="28"/>
          <w:szCs w:val="28"/>
        </w:rPr>
      </w:pPr>
      <w:r>
        <w:rPr>
          <w:rFonts w:eastAsia="Times New Roman"/>
          <w:sz w:val="28"/>
          <w:szCs w:val="28"/>
        </w:rPr>
        <w:t>Talking through the issues with someone who understands the education system.</w:t>
      </w:r>
    </w:p>
    <w:p w14:paraId="30F3CFF9" w14:textId="77777777" w:rsidR="009C7438" w:rsidRDefault="009C7438" w:rsidP="009C7438">
      <w:pPr>
        <w:pStyle w:val="ListParagraph"/>
        <w:numPr>
          <w:ilvl w:val="0"/>
          <w:numId w:val="3"/>
        </w:numPr>
        <w:ind w:left="567" w:hanging="567"/>
        <w:contextualSpacing w:val="0"/>
        <w:rPr>
          <w:rFonts w:eastAsia="Times New Roman"/>
          <w:sz w:val="28"/>
          <w:szCs w:val="28"/>
        </w:rPr>
      </w:pPr>
      <w:r>
        <w:rPr>
          <w:rFonts w:eastAsia="Times New Roman"/>
          <w:sz w:val="28"/>
          <w:szCs w:val="28"/>
        </w:rPr>
        <w:t>Actively supporting and assisting in negotiations at meetings, reviewing correspondence and proposing strategies and solutions.</w:t>
      </w:r>
    </w:p>
    <w:p w14:paraId="147E46AC" w14:textId="77777777" w:rsidR="009C7438" w:rsidRDefault="009C7438" w:rsidP="009C7438">
      <w:pPr>
        <w:rPr>
          <w:sz w:val="28"/>
          <w:szCs w:val="28"/>
        </w:rPr>
      </w:pPr>
    </w:p>
    <w:p w14:paraId="4B69E556" w14:textId="3EBA71C7" w:rsidR="009C7438" w:rsidRDefault="009C7438" w:rsidP="009C7438">
      <w:pPr>
        <w:rPr>
          <w:sz w:val="28"/>
          <w:szCs w:val="28"/>
        </w:rPr>
      </w:pPr>
      <w:r>
        <w:rPr>
          <w:sz w:val="28"/>
          <w:szCs w:val="28"/>
        </w:rPr>
        <w:t xml:space="preserve">Previously DDWA has self-funded this service or received </w:t>
      </w:r>
      <w:r w:rsidR="000D269B">
        <w:rPr>
          <w:sz w:val="28"/>
          <w:szCs w:val="28"/>
        </w:rPr>
        <w:t xml:space="preserve">grant </w:t>
      </w:r>
      <w:r>
        <w:rPr>
          <w:sz w:val="28"/>
          <w:szCs w:val="28"/>
        </w:rPr>
        <w:t xml:space="preserve">funding from the Department of Communities.  </w:t>
      </w:r>
      <w:r w:rsidR="000D269B">
        <w:rPr>
          <w:sz w:val="28"/>
          <w:szCs w:val="28"/>
        </w:rPr>
        <w:t>The</w:t>
      </w:r>
      <w:r>
        <w:rPr>
          <w:sz w:val="28"/>
          <w:szCs w:val="28"/>
        </w:rPr>
        <w:t xml:space="preserve"> Education Department </w:t>
      </w:r>
      <w:r w:rsidR="000D269B">
        <w:rPr>
          <w:sz w:val="28"/>
          <w:szCs w:val="28"/>
        </w:rPr>
        <w:t>has agreed to employ</w:t>
      </w:r>
      <w:r>
        <w:rPr>
          <w:sz w:val="28"/>
          <w:szCs w:val="28"/>
        </w:rPr>
        <w:t xml:space="preserve"> a</w:t>
      </w:r>
      <w:r w:rsidR="000D269B">
        <w:rPr>
          <w:sz w:val="28"/>
          <w:szCs w:val="28"/>
        </w:rPr>
        <w:t>n advocate</w:t>
      </w:r>
      <w:r>
        <w:rPr>
          <w:sz w:val="28"/>
          <w:szCs w:val="28"/>
        </w:rPr>
        <w:t xml:space="preserve"> for 6 months</w:t>
      </w:r>
      <w:r w:rsidR="000D269B">
        <w:rPr>
          <w:sz w:val="28"/>
          <w:szCs w:val="28"/>
        </w:rPr>
        <w:t>.</w:t>
      </w:r>
      <w:r>
        <w:rPr>
          <w:sz w:val="28"/>
          <w:szCs w:val="28"/>
        </w:rPr>
        <w:t xml:space="preserve"> </w:t>
      </w:r>
      <w:r w:rsidR="000D269B">
        <w:rPr>
          <w:sz w:val="28"/>
          <w:szCs w:val="28"/>
        </w:rPr>
        <w:t>N</w:t>
      </w:r>
      <w:r>
        <w:rPr>
          <w:sz w:val="28"/>
          <w:szCs w:val="28"/>
        </w:rPr>
        <w:t xml:space="preserve">one of these measures </w:t>
      </w:r>
      <w:r w:rsidR="000D269B">
        <w:rPr>
          <w:sz w:val="28"/>
          <w:szCs w:val="28"/>
        </w:rPr>
        <w:t xml:space="preserve">are </w:t>
      </w:r>
      <w:r>
        <w:rPr>
          <w:sz w:val="28"/>
          <w:szCs w:val="28"/>
        </w:rPr>
        <w:t xml:space="preserve">sustainable or </w:t>
      </w:r>
      <w:r w:rsidR="000D269B">
        <w:rPr>
          <w:sz w:val="28"/>
          <w:szCs w:val="28"/>
        </w:rPr>
        <w:t>comprehensive</w:t>
      </w:r>
      <w:r>
        <w:rPr>
          <w:sz w:val="28"/>
          <w:szCs w:val="28"/>
        </w:rPr>
        <w:t xml:space="preserve"> to meet </w:t>
      </w:r>
      <w:r w:rsidR="000D269B">
        <w:rPr>
          <w:sz w:val="28"/>
          <w:szCs w:val="28"/>
        </w:rPr>
        <w:t>current or future</w:t>
      </w:r>
      <w:r>
        <w:rPr>
          <w:sz w:val="28"/>
          <w:szCs w:val="28"/>
        </w:rPr>
        <w:t xml:space="preserve"> need</w:t>
      </w:r>
      <w:r w:rsidR="000D269B">
        <w:rPr>
          <w:sz w:val="28"/>
          <w:szCs w:val="28"/>
        </w:rPr>
        <w:t>s, and the latter does not maintain the independency of the advocate from the education system</w:t>
      </w:r>
      <w:r>
        <w:rPr>
          <w:sz w:val="28"/>
          <w:szCs w:val="28"/>
        </w:rPr>
        <w:t>.</w:t>
      </w:r>
    </w:p>
    <w:p w14:paraId="388FFE91" w14:textId="77777777" w:rsidR="009C7438" w:rsidRDefault="009C7438" w:rsidP="009C7438">
      <w:pPr>
        <w:rPr>
          <w:sz w:val="28"/>
          <w:szCs w:val="28"/>
        </w:rPr>
      </w:pPr>
    </w:p>
    <w:p w14:paraId="0725D0DA" w14:textId="77777777" w:rsidR="009C7438" w:rsidRDefault="009C7438" w:rsidP="009C7438">
      <w:pPr>
        <w:rPr>
          <w:sz w:val="28"/>
          <w:szCs w:val="28"/>
        </w:rPr>
      </w:pPr>
      <w:r>
        <w:rPr>
          <w:sz w:val="28"/>
          <w:szCs w:val="28"/>
        </w:rPr>
        <w:lastRenderedPageBreak/>
        <w:t>Required actions of Education department:</w:t>
      </w:r>
    </w:p>
    <w:p w14:paraId="3CED5F4A" w14:textId="77777777" w:rsidR="00C91A52" w:rsidRDefault="00C91A52" w:rsidP="009C7438">
      <w:pPr>
        <w:rPr>
          <w:sz w:val="28"/>
          <w:szCs w:val="28"/>
        </w:rPr>
      </w:pPr>
    </w:p>
    <w:p w14:paraId="50C9FC4F" w14:textId="5F1BC60C" w:rsidR="009C7438" w:rsidRDefault="009C7438" w:rsidP="00600517">
      <w:pPr>
        <w:pStyle w:val="ListParagraph"/>
        <w:numPr>
          <w:ilvl w:val="1"/>
          <w:numId w:val="7"/>
        </w:numPr>
        <w:ind w:left="567" w:hanging="567"/>
        <w:rPr>
          <w:sz w:val="28"/>
          <w:szCs w:val="28"/>
        </w:rPr>
      </w:pPr>
      <w:r>
        <w:rPr>
          <w:sz w:val="28"/>
          <w:szCs w:val="28"/>
        </w:rPr>
        <w:t xml:space="preserve">Act on </w:t>
      </w:r>
      <w:r w:rsidR="000D269B" w:rsidRPr="000D269B">
        <w:rPr>
          <w:sz w:val="28"/>
          <w:szCs w:val="28"/>
        </w:rPr>
        <w:t xml:space="preserve">Recommendation 6.21 (c) </w:t>
      </w:r>
      <w:r w:rsidR="000D269B">
        <w:rPr>
          <w:sz w:val="28"/>
          <w:szCs w:val="28"/>
        </w:rPr>
        <w:t>(</w:t>
      </w:r>
      <w:r w:rsidR="000D269B" w:rsidRPr="000D269B">
        <w:rPr>
          <w:sz w:val="28"/>
          <w:szCs w:val="28"/>
        </w:rPr>
        <w:t>state and territory governments should ensure long term and stable funding for disability advocacy programs in their jurisdictions to meet demand)</w:t>
      </w:r>
      <w:r w:rsidR="000D269B">
        <w:rPr>
          <w:sz w:val="28"/>
          <w:szCs w:val="28"/>
        </w:rPr>
        <w:t xml:space="preserve">; and </w:t>
      </w:r>
      <w:r w:rsidR="000D269B" w:rsidRPr="00600517">
        <w:rPr>
          <w:sz w:val="28"/>
          <w:szCs w:val="28"/>
        </w:rPr>
        <w:t xml:space="preserve">Recommendation 7.10 Complaint management (a) </w:t>
      </w:r>
      <w:r w:rsidR="000D269B">
        <w:rPr>
          <w:sz w:val="28"/>
          <w:szCs w:val="28"/>
        </w:rPr>
        <w:t>(</w:t>
      </w:r>
      <w:r w:rsidR="000D269B" w:rsidRPr="00600517">
        <w:rPr>
          <w:sz w:val="28"/>
          <w:szCs w:val="28"/>
        </w:rPr>
        <w:t>State and territory governments should create or expand existing complaint management offices that operate within educational authorities at arm’s length from schools to help resolve complaints about schools, specifically complaints concerning the treatment of students with disability. These offices should be empowered to: request information and conduct conciliations, connecting families with advocacy support and specialist disability expertise where needed)</w:t>
      </w:r>
      <w:r w:rsidR="000D269B">
        <w:rPr>
          <w:sz w:val="28"/>
          <w:szCs w:val="28"/>
        </w:rPr>
        <w:t xml:space="preserve"> </w:t>
      </w:r>
      <w:r w:rsidRPr="00600517">
        <w:rPr>
          <w:sz w:val="28"/>
          <w:szCs w:val="28"/>
        </w:rPr>
        <w:t>from Disability Royal Commission</w:t>
      </w:r>
      <w:r w:rsidR="000D269B">
        <w:rPr>
          <w:sz w:val="28"/>
          <w:szCs w:val="28"/>
        </w:rPr>
        <w:t>.</w:t>
      </w:r>
    </w:p>
    <w:p w14:paraId="1692D801" w14:textId="77777777" w:rsidR="00600517" w:rsidRPr="00600517" w:rsidRDefault="00600517" w:rsidP="00600517">
      <w:pPr>
        <w:pStyle w:val="ListParagraph"/>
        <w:ind w:left="567" w:hanging="567"/>
        <w:rPr>
          <w:sz w:val="28"/>
          <w:szCs w:val="28"/>
        </w:rPr>
      </w:pPr>
    </w:p>
    <w:p w14:paraId="6FE1369E" w14:textId="5EB50C05" w:rsidR="009C7438" w:rsidRDefault="009C7438" w:rsidP="00600517">
      <w:pPr>
        <w:ind w:left="567" w:hanging="567"/>
        <w:rPr>
          <w:sz w:val="28"/>
          <w:szCs w:val="28"/>
        </w:rPr>
      </w:pPr>
      <w:r>
        <w:rPr>
          <w:sz w:val="28"/>
          <w:szCs w:val="28"/>
        </w:rPr>
        <w:t>2.2</w:t>
      </w:r>
      <w:r>
        <w:rPr>
          <w:sz w:val="28"/>
          <w:szCs w:val="28"/>
        </w:rPr>
        <w:tab/>
        <w:t>Utilise the learnings from interstate services and past education advocacy projects to establish and fully fund an independent specialist advocacy service for all students with disability and their families in government and non-government schools.  Service needs to have particular expertise in relation to challenging behaviour, complex communication needs and neurodivergence.</w:t>
      </w:r>
    </w:p>
    <w:p w14:paraId="2DF93606" w14:textId="77777777" w:rsidR="009C7438" w:rsidRDefault="009C7438" w:rsidP="009C7438">
      <w:pPr>
        <w:rPr>
          <w:sz w:val="28"/>
          <w:szCs w:val="28"/>
        </w:rPr>
      </w:pPr>
    </w:p>
    <w:p w14:paraId="56135A26" w14:textId="77777777" w:rsidR="009C7438" w:rsidRDefault="009C7438" w:rsidP="009C7438">
      <w:pPr>
        <w:rPr>
          <w:b/>
          <w:bCs/>
          <w:sz w:val="28"/>
          <w:szCs w:val="28"/>
        </w:rPr>
      </w:pPr>
    </w:p>
    <w:p w14:paraId="5A2D522A" w14:textId="77777777" w:rsidR="00056B27" w:rsidRDefault="00056B27" w:rsidP="009C7438"/>
    <w:sectPr w:rsidR="00056B2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CF70" w14:textId="77777777" w:rsidR="00A316A5" w:rsidRDefault="00A316A5" w:rsidP="00600517">
      <w:r>
        <w:separator/>
      </w:r>
    </w:p>
  </w:endnote>
  <w:endnote w:type="continuationSeparator" w:id="0">
    <w:p w14:paraId="4C35963C" w14:textId="77777777" w:rsidR="00A316A5" w:rsidRDefault="00A316A5" w:rsidP="00600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013331"/>
      <w:docPartObj>
        <w:docPartGallery w:val="Page Numbers (Bottom of Page)"/>
        <w:docPartUnique/>
      </w:docPartObj>
    </w:sdtPr>
    <w:sdtEndPr/>
    <w:sdtContent>
      <w:p w14:paraId="37E408BC" w14:textId="14A196B4" w:rsidR="00600517" w:rsidRDefault="00600517">
        <w:pPr>
          <w:pStyle w:val="Footer"/>
          <w:jc w:val="center"/>
        </w:pPr>
        <w:r>
          <w:fldChar w:fldCharType="begin"/>
        </w:r>
        <w:r>
          <w:instrText>PAGE   \* MERGEFORMAT</w:instrText>
        </w:r>
        <w:r>
          <w:fldChar w:fldCharType="separate"/>
        </w:r>
        <w:r>
          <w:rPr>
            <w:lang w:val="en-GB"/>
          </w:rPr>
          <w:t>2</w:t>
        </w:r>
        <w:r>
          <w:fldChar w:fldCharType="end"/>
        </w:r>
      </w:p>
    </w:sdtContent>
  </w:sdt>
  <w:p w14:paraId="59804383" w14:textId="77777777" w:rsidR="00600517" w:rsidRDefault="0060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6B8A" w14:textId="77777777" w:rsidR="00A316A5" w:rsidRDefault="00A316A5" w:rsidP="00600517">
      <w:r>
        <w:separator/>
      </w:r>
    </w:p>
  </w:footnote>
  <w:footnote w:type="continuationSeparator" w:id="0">
    <w:p w14:paraId="31A0EBCA" w14:textId="77777777" w:rsidR="00A316A5" w:rsidRDefault="00A316A5" w:rsidP="00600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AB8"/>
    <w:multiLevelType w:val="multilevel"/>
    <w:tmpl w:val="3D86CA50"/>
    <w:lvl w:ilvl="0">
      <w:start w:val="2"/>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01F6793B"/>
    <w:multiLevelType w:val="hybridMultilevel"/>
    <w:tmpl w:val="3C224676"/>
    <w:lvl w:ilvl="0" w:tplc="0C09000F">
      <w:start w:val="1"/>
      <w:numFmt w:val="decimal"/>
      <w:lvlText w:val="%1."/>
      <w:lvlJc w:val="left"/>
      <w:pPr>
        <w:ind w:left="720" w:hanging="360"/>
      </w:pPr>
    </w:lvl>
    <w:lvl w:ilvl="1" w:tplc="5A6EC89E">
      <w:start w:val="1"/>
      <w:numFmt w:val="decimal"/>
      <w:lvlText w:val="%2.1"/>
      <w:lvlJc w:val="left"/>
      <w:pPr>
        <w:ind w:left="1440" w:hanging="360"/>
      </w:pPr>
      <w:rPr>
        <w:rFonts w:ascii="Arial" w:hAnsi="Arial" w:cs="Times New Roman" w:hint="default"/>
        <w:b w:val="0"/>
        <w:i w:val="0"/>
        <w:sz w:val="24"/>
        <w:szCs w:val="24"/>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237D2661"/>
    <w:multiLevelType w:val="multilevel"/>
    <w:tmpl w:val="479C928E"/>
    <w:lvl w:ilvl="0">
      <w:start w:val="3"/>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 w15:restartNumberingAfterBreak="0">
    <w:nsid w:val="2C230212"/>
    <w:multiLevelType w:val="hybridMultilevel"/>
    <w:tmpl w:val="522234A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 w15:restartNumberingAfterBreak="0">
    <w:nsid w:val="3EEE042E"/>
    <w:multiLevelType w:val="multilevel"/>
    <w:tmpl w:val="D6DC6F24"/>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10C3104"/>
    <w:multiLevelType w:val="multilevel"/>
    <w:tmpl w:val="F13AE64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6" w15:restartNumberingAfterBreak="0">
    <w:nsid w:val="73D631EE"/>
    <w:multiLevelType w:val="multilevel"/>
    <w:tmpl w:val="4EA6C428"/>
    <w:lvl w:ilvl="0">
      <w:start w:val="4"/>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num w:numId="1" w16cid:durableId="11118936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394336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156891">
    <w:abstractNumId w:val="3"/>
  </w:num>
  <w:num w:numId="4" w16cid:durableId="61152353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100098">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942311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8021741">
    <w:abstractNumId w:val="4"/>
  </w:num>
  <w:num w:numId="8" w16cid:durableId="301279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38"/>
    <w:rsid w:val="00023005"/>
    <w:rsid w:val="00056B27"/>
    <w:rsid w:val="000D269B"/>
    <w:rsid w:val="001B21B9"/>
    <w:rsid w:val="00226525"/>
    <w:rsid w:val="00235F2A"/>
    <w:rsid w:val="00441D23"/>
    <w:rsid w:val="004474F9"/>
    <w:rsid w:val="004C7859"/>
    <w:rsid w:val="005970C1"/>
    <w:rsid w:val="005B10D2"/>
    <w:rsid w:val="005C3FDA"/>
    <w:rsid w:val="00600517"/>
    <w:rsid w:val="0060109D"/>
    <w:rsid w:val="006F350E"/>
    <w:rsid w:val="00733E82"/>
    <w:rsid w:val="00787FDF"/>
    <w:rsid w:val="00827368"/>
    <w:rsid w:val="00854360"/>
    <w:rsid w:val="00856061"/>
    <w:rsid w:val="00873E0A"/>
    <w:rsid w:val="009C7438"/>
    <w:rsid w:val="00A316A5"/>
    <w:rsid w:val="00A97600"/>
    <w:rsid w:val="00B220A2"/>
    <w:rsid w:val="00B84CB3"/>
    <w:rsid w:val="00B96396"/>
    <w:rsid w:val="00BA6C86"/>
    <w:rsid w:val="00BC1D6A"/>
    <w:rsid w:val="00C91A52"/>
    <w:rsid w:val="00D844BB"/>
    <w:rsid w:val="00EB07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93CD"/>
  <w15:chartTrackingRefBased/>
  <w15:docId w15:val="{73B85E33-9AEB-45FD-9ADE-4C08B50A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438"/>
    <w:pPr>
      <w:spacing w:after="0" w:line="240" w:lineRule="auto"/>
    </w:pPr>
    <w:rPr>
      <w:rFonts w:ascii="Aptos" w:hAnsi="Aptos" w:cs="Aptos"/>
      <w:kern w:val="0"/>
    </w:rPr>
  </w:style>
  <w:style w:type="paragraph" w:styleId="Heading1">
    <w:name w:val="heading 1"/>
    <w:basedOn w:val="Normal"/>
    <w:next w:val="Normal"/>
    <w:link w:val="Heading1Char"/>
    <w:uiPriority w:val="9"/>
    <w:qFormat/>
    <w:rsid w:val="009C74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74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74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74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74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74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74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74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74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74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74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74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74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74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74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74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74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7438"/>
    <w:rPr>
      <w:rFonts w:eastAsiaTheme="majorEastAsia" w:cstheme="majorBidi"/>
      <w:color w:val="272727" w:themeColor="text1" w:themeTint="D8"/>
    </w:rPr>
  </w:style>
  <w:style w:type="paragraph" w:styleId="Title">
    <w:name w:val="Title"/>
    <w:basedOn w:val="Normal"/>
    <w:next w:val="Normal"/>
    <w:link w:val="TitleChar"/>
    <w:uiPriority w:val="10"/>
    <w:qFormat/>
    <w:rsid w:val="009C74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4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74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74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7438"/>
    <w:pPr>
      <w:spacing w:before="160"/>
      <w:jc w:val="center"/>
    </w:pPr>
    <w:rPr>
      <w:i/>
      <w:iCs/>
      <w:color w:val="404040" w:themeColor="text1" w:themeTint="BF"/>
    </w:rPr>
  </w:style>
  <w:style w:type="character" w:customStyle="1" w:styleId="QuoteChar">
    <w:name w:val="Quote Char"/>
    <w:basedOn w:val="DefaultParagraphFont"/>
    <w:link w:val="Quote"/>
    <w:uiPriority w:val="29"/>
    <w:rsid w:val="009C7438"/>
    <w:rPr>
      <w:i/>
      <w:iCs/>
      <w:color w:val="404040" w:themeColor="text1" w:themeTint="BF"/>
    </w:rPr>
  </w:style>
  <w:style w:type="paragraph" w:styleId="ListParagraph">
    <w:name w:val="List Paragraph"/>
    <w:basedOn w:val="Normal"/>
    <w:uiPriority w:val="34"/>
    <w:qFormat/>
    <w:rsid w:val="009C7438"/>
    <w:pPr>
      <w:ind w:left="720"/>
      <w:contextualSpacing/>
    </w:pPr>
  </w:style>
  <w:style w:type="character" w:styleId="IntenseEmphasis">
    <w:name w:val="Intense Emphasis"/>
    <w:basedOn w:val="DefaultParagraphFont"/>
    <w:uiPriority w:val="21"/>
    <w:qFormat/>
    <w:rsid w:val="009C7438"/>
    <w:rPr>
      <w:i/>
      <w:iCs/>
      <w:color w:val="0F4761" w:themeColor="accent1" w:themeShade="BF"/>
    </w:rPr>
  </w:style>
  <w:style w:type="paragraph" w:styleId="IntenseQuote">
    <w:name w:val="Intense Quote"/>
    <w:basedOn w:val="Normal"/>
    <w:next w:val="Normal"/>
    <w:link w:val="IntenseQuoteChar"/>
    <w:uiPriority w:val="30"/>
    <w:qFormat/>
    <w:rsid w:val="009C74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7438"/>
    <w:rPr>
      <w:i/>
      <w:iCs/>
      <w:color w:val="0F4761" w:themeColor="accent1" w:themeShade="BF"/>
    </w:rPr>
  </w:style>
  <w:style w:type="character" w:styleId="IntenseReference">
    <w:name w:val="Intense Reference"/>
    <w:basedOn w:val="DefaultParagraphFont"/>
    <w:uiPriority w:val="32"/>
    <w:qFormat/>
    <w:rsid w:val="009C7438"/>
    <w:rPr>
      <w:b/>
      <w:bCs/>
      <w:smallCaps/>
      <w:color w:val="0F4761" w:themeColor="accent1" w:themeShade="BF"/>
      <w:spacing w:val="5"/>
    </w:rPr>
  </w:style>
  <w:style w:type="character" w:styleId="Hyperlink">
    <w:name w:val="Hyperlink"/>
    <w:basedOn w:val="DefaultParagraphFont"/>
    <w:uiPriority w:val="99"/>
    <w:semiHidden/>
    <w:unhideWhenUsed/>
    <w:rsid w:val="009C7438"/>
    <w:rPr>
      <w:color w:val="467886"/>
      <w:u w:val="single"/>
    </w:rPr>
  </w:style>
  <w:style w:type="paragraph" w:styleId="NormalWeb">
    <w:name w:val="Normal (Web)"/>
    <w:basedOn w:val="Normal"/>
    <w:uiPriority w:val="99"/>
    <w:semiHidden/>
    <w:unhideWhenUsed/>
    <w:rsid w:val="009C7438"/>
    <w:pPr>
      <w:spacing w:before="100" w:beforeAutospacing="1" w:after="100" w:afterAutospacing="1"/>
    </w:pPr>
    <w:rPr>
      <w:sz w:val="24"/>
      <w:szCs w:val="24"/>
      <w:lang w:eastAsia="en-AU"/>
      <w14:ligatures w14:val="none"/>
    </w:rPr>
  </w:style>
  <w:style w:type="paragraph" w:styleId="Revision">
    <w:name w:val="Revision"/>
    <w:hidden/>
    <w:uiPriority w:val="99"/>
    <w:semiHidden/>
    <w:rsid w:val="00827368"/>
    <w:pPr>
      <w:spacing w:after="0" w:line="240" w:lineRule="auto"/>
    </w:pPr>
    <w:rPr>
      <w:rFonts w:ascii="Aptos" w:hAnsi="Aptos" w:cs="Aptos"/>
      <w:kern w:val="0"/>
    </w:rPr>
  </w:style>
  <w:style w:type="paragraph" w:styleId="Header">
    <w:name w:val="header"/>
    <w:basedOn w:val="Normal"/>
    <w:link w:val="HeaderChar"/>
    <w:uiPriority w:val="99"/>
    <w:unhideWhenUsed/>
    <w:rsid w:val="00600517"/>
    <w:pPr>
      <w:tabs>
        <w:tab w:val="center" w:pos="4513"/>
        <w:tab w:val="right" w:pos="9026"/>
      </w:tabs>
    </w:pPr>
  </w:style>
  <w:style w:type="character" w:customStyle="1" w:styleId="HeaderChar">
    <w:name w:val="Header Char"/>
    <w:basedOn w:val="DefaultParagraphFont"/>
    <w:link w:val="Header"/>
    <w:uiPriority w:val="99"/>
    <w:rsid w:val="00600517"/>
    <w:rPr>
      <w:rFonts w:ascii="Aptos" w:hAnsi="Aptos" w:cs="Aptos"/>
      <w:kern w:val="0"/>
    </w:rPr>
  </w:style>
  <w:style w:type="paragraph" w:styleId="Footer">
    <w:name w:val="footer"/>
    <w:basedOn w:val="Normal"/>
    <w:link w:val="FooterChar"/>
    <w:uiPriority w:val="99"/>
    <w:unhideWhenUsed/>
    <w:rsid w:val="00600517"/>
    <w:pPr>
      <w:tabs>
        <w:tab w:val="center" w:pos="4513"/>
        <w:tab w:val="right" w:pos="9026"/>
      </w:tabs>
    </w:pPr>
  </w:style>
  <w:style w:type="character" w:customStyle="1" w:styleId="FooterChar">
    <w:name w:val="Footer Char"/>
    <w:basedOn w:val="DefaultParagraphFont"/>
    <w:link w:val="Footer"/>
    <w:uiPriority w:val="99"/>
    <w:rsid w:val="00600517"/>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5796">
      <w:bodyDiv w:val="1"/>
      <w:marLeft w:val="0"/>
      <w:marRight w:val="0"/>
      <w:marTop w:val="0"/>
      <w:marBottom w:val="0"/>
      <w:divBdr>
        <w:top w:val="none" w:sz="0" w:space="0" w:color="auto"/>
        <w:left w:val="none" w:sz="0" w:space="0" w:color="auto"/>
        <w:bottom w:val="none" w:sz="0" w:space="0" w:color="auto"/>
        <w:right w:val="none" w:sz="0" w:space="0" w:color="auto"/>
      </w:divBdr>
    </w:div>
    <w:div w:id="12060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nsw.gov.au/easy-rea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c44e20-669a-4bb4-8ea9-e21b5de1a061">
      <Terms xmlns="http://schemas.microsoft.com/office/infopath/2007/PartnerControls"/>
    </lcf76f155ced4ddcb4097134ff3c332f>
    <TaxCatchAll xmlns="3aae9e14-003b-4029-ba5a-3bd351e70bb8" xsi:nil="true"/>
    <Date xmlns="46c44e20-669a-4bb4-8ea9-e21b5de1a061" xsi:nil="true"/>
    <_Flow_SignoffStatus xmlns="46c44e20-669a-4bb4-8ea9-e21b5de1a0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A6663550F41E429492F564E747168E" ma:contentTypeVersion="20" ma:contentTypeDescription="Create a new document." ma:contentTypeScope="" ma:versionID="4a8e87050faf89e85412257d3d3a85e6">
  <xsd:schema xmlns:xsd="http://www.w3.org/2001/XMLSchema" xmlns:xs="http://www.w3.org/2001/XMLSchema" xmlns:p="http://schemas.microsoft.com/office/2006/metadata/properties" xmlns:ns2="46c44e20-669a-4bb4-8ea9-e21b5de1a061" xmlns:ns3="3aae9e14-003b-4029-ba5a-3bd351e70bb8" targetNamespace="http://schemas.microsoft.com/office/2006/metadata/properties" ma:root="true" ma:fieldsID="35b7cb75c644d6ab3ccd854ff206a65e" ns2:_="" ns3:_="">
    <xsd:import namespace="46c44e20-669a-4bb4-8ea9-e21b5de1a061"/>
    <xsd:import namespace="3aae9e14-003b-4029-ba5a-3bd351e70bb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44e20-669a-4bb4-8ea9-e21b5de1a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f7d847e-0977-44a4-bed5-52935a52b00e"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Only"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ae9e14-003b-4029-ba5a-3bd351e70b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a9495e-127d-46ce-be3d-b7a765eea302}" ma:internalName="TaxCatchAll" ma:showField="CatchAllData" ma:web="3aae9e14-003b-4029-ba5a-3bd351e70b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77B5D-2A13-4931-94F6-AF0CFFC7F4A4}">
  <ds:schemaRefs>
    <ds:schemaRef ds:uri="http://schemas.microsoft.com/office/2006/metadata/properties"/>
    <ds:schemaRef ds:uri="http://schemas.microsoft.com/office/infopath/2007/PartnerControls"/>
    <ds:schemaRef ds:uri="46c44e20-669a-4bb4-8ea9-e21b5de1a061"/>
    <ds:schemaRef ds:uri="3aae9e14-003b-4029-ba5a-3bd351e70bb8"/>
  </ds:schemaRefs>
</ds:datastoreItem>
</file>

<file path=customXml/itemProps2.xml><?xml version="1.0" encoding="utf-8"?>
<ds:datastoreItem xmlns:ds="http://schemas.openxmlformats.org/officeDocument/2006/customXml" ds:itemID="{C73236D4-99C5-4ABD-A46A-EC2431434625}">
  <ds:schemaRefs>
    <ds:schemaRef ds:uri="http://schemas.microsoft.com/sharepoint/v3/contenttype/forms"/>
  </ds:schemaRefs>
</ds:datastoreItem>
</file>

<file path=customXml/itemProps3.xml><?xml version="1.0" encoding="utf-8"?>
<ds:datastoreItem xmlns:ds="http://schemas.openxmlformats.org/officeDocument/2006/customXml" ds:itemID="{2FC860E4-3288-4AF3-A50C-DF6B58522D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44e20-669a-4bb4-8ea9-e21b5de1a061"/>
    <ds:schemaRef ds:uri="3aae9e14-003b-4029-ba5a-3bd351e7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972</Words>
  <Characters>5974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Butterworth</dc:creator>
  <cp:keywords/>
  <dc:description/>
  <cp:lastModifiedBy>Lydia Gallant</cp:lastModifiedBy>
  <cp:revision>5</cp:revision>
  <dcterms:created xsi:type="dcterms:W3CDTF">2024-12-17T03:29:00Z</dcterms:created>
  <dcterms:modified xsi:type="dcterms:W3CDTF">2025-02-18T01:56:00Z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49af3ec3-591b-44e1-bf3e-fc3556da4ccc</vt:lpwstr>
  </property>
  <property fmtid="{D5CDD505-2E9C-101B-9397-08002B2CF9AE}" pid="3" name="ContentTypeId">
    <vt:lpwstr>0x01010091A6663550F41E429492F564E747168E</vt:lpwstr>
  </property>
</Properties>
</file>